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7119A">
      <w:pPr>
        <w:keepNext w:val="0"/>
        <w:keepLines w:val="0"/>
        <w:pageBreakBefore w:val="0"/>
        <w:widowControl w:val="0"/>
        <w:tabs>
          <w:tab w:val="left" w:pos="2268"/>
          <w:tab w:val="left" w:pos="524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赣州市章贡区汇贤雅苑物业招标项目(项目编号：JXYT2026-ZG-G001)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评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标</w:t>
      </w: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报告</w:t>
      </w:r>
    </w:p>
    <w:p w14:paraId="7A9561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江西远泰项目管理有限公司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赣州市章贡区汇贤雅苑业主管理委员会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的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委托，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对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赣州市章贡区汇贤雅苑物业招标项目(项目编号：JXYT2026-ZG-G001)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eastAsia="zh-CN"/>
        </w:rPr>
        <w:t>项目进行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公开招标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  <w:lang w:eastAsia="zh-CN"/>
        </w:rPr>
        <w:t>。</w:t>
      </w:r>
      <w:r>
        <w:rPr>
          <w:rFonts w:hint="eastAsia" w:ascii="宋体" w:hAnsi="宋体" w:cs="宋体"/>
          <w:color w:val="000000"/>
          <w:kern w:val="0"/>
          <w:sz w:val="28"/>
          <w:szCs w:val="28"/>
          <w:highlight w:val="none"/>
        </w:rPr>
        <w:t>按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招标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文件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所规定的时间，该项目的评审于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202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05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08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日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09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: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0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（北京时间），在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江西远泰项目管理有限公司评标室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准时进行。</w:t>
      </w:r>
    </w:p>
    <w:p w14:paraId="05DCD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按规定时间签到并提交</w:t>
      </w:r>
      <w:r>
        <w:rPr>
          <w:rFonts w:hint="eastAsia" w:ascii="宋体" w:hAnsi="宋体" w:cs="宋体"/>
          <w:color w:val="000000"/>
          <w:sz w:val="28"/>
          <w:szCs w:val="28"/>
          <w:lang w:eastAsia="zh-CN"/>
        </w:rPr>
        <w:t>响应文件</w:t>
      </w:r>
      <w:r>
        <w:rPr>
          <w:rFonts w:hint="eastAsia" w:ascii="宋体" w:hAnsi="宋体" w:cs="宋体"/>
          <w:color w:val="000000"/>
          <w:sz w:val="28"/>
          <w:szCs w:val="28"/>
        </w:rPr>
        <w:t>的供应商有：</w:t>
      </w:r>
      <w:r>
        <w:rPr>
          <w:rFonts w:hint="eastAsia" w:ascii="宋体" w:hAnsi="宋体" w:eastAsia="宋体" w:cs="宋体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赣州汇贤物业管理有限公司、赣州市恒洋物业管理有限公司、赣州英悦物业管理有限公司、赣州市德威物业管理有限责任公司</w:t>
      </w:r>
      <w:r>
        <w:rPr>
          <w:rFonts w:hint="eastAsia" w:ascii="宋体" w:hAnsi="宋体" w:eastAsia="宋体" w:cs="Courier New"/>
          <w:b w:val="0"/>
          <w:bCs w:val="0"/>
          <w:sz w:val="28"/>
          <w:szCs w:val="28"/>
          <w:highlight w:val="none"/>
          <w:u w:val="single"/>
          <w:lang w:val="en-US" w:eastAsia="zh-CN"/>
        </w:rPr>
        <w:t>。</w:t>
      </w:r>
    </w:p>
    <w:p w14:paraId="3275A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</w:pPr>
      <w:r>
        <w:rPr>
          <w:rFonts w:hint="eastAsia" w:ascii="宋体" w:hAnsi="宋体" w:cs="宋体"/>
          <w:color w:val="000000"/>
          <w:sz w:val="28"/>
          <w:szCs w:val="28"/>
        </w:rPr>
        <w:t>参加本项目的评标专家为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>江有源、李玉华、胡成君、罗有恒、尹才慧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</w:rPr>
        <w:t>。</w:t>
      </w:r>
    </w:p>
    <w:p w14:paraId="315C6E9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经全体评标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委员会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家一致同意，推选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u w:val="single"/>
          <w:lang w:val="en-US" w:eastAsia="zh-CN"/>
        </w:rPr>
        <w:t xml:space="preserve"> 江有源 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为评标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委员会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组长。</w:t>
      </w:r>
    </w:p>
    <w:p w14:paraId="7DB45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highlight w:val="none"/>
        </w:rPr>
      </w:pPr>
      <w:r>
        <w:rPr>
          <w:rFonts w:hint="eastAsia" w:ascii="宋体" w:hAnsi="宋体" w:cs="宋体"/>
          <w:color w:val="000000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、按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招标文件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规定，评标委员会按规定对供应商的资格条件及</w:t>
      </w:r>
      <w:r>
        <w:rPr>
          <w:rFonts w:hint="eastAsia" w:ascii="宋体" w:hAnsi="宋体" w:cs="宋体"/>
          <w:color w:val="000000"/>
          <w:sz w:val="28"/>
          <w:szCs w:val="28"/>
          <w:highlight w:val="none"/>
          <w:lang w:eastAsia="zh-CN"/>
        </w:rPr>
        <w:t>响应文件</w:t>
      </w:r>
      <w:r>
        <w:rPr>
          <w:rFonts w:hint="eastAsia" w:ascii="宋体" w:hAnsi="宋体" w:cs="宋体"/>
          <w:color w:val="000000"/>
          <w:sz w:val="28"/>
          <w:szCs w:val="28"/>
          <w:highlight w:val="none"/>
        </w:rPr>
        <w:t>的符合性进行审查：</w:t>
      </w:r>
    </w:p>
    <w:p w14:paraId="523799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3、</w:t>
      </w:r>
      <w:r>
        <w:rPr>
          <w:rFonts w:hint="eastAsia" w:ascii="宋体" w:hAnsi="宋体" w:cs="宋体"/>
          <w:sz w:val="28"/>
          <w:szCs w:val="28"/>
          <w:highlight w:val="none"/>
        </w:rPr>
        <w:t>资格性评审结果情况如下：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赣州汇贤物业管理有限公司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赣州市恒洋物业管理有限公司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赣州英悦物业管理有限公司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赣州市德威物业管理有限责任公司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的响应文件资格审核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均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通过</w:t>
      </w:r>
      <w:r>
        <w:rPr>
          <w:rFonts w:hint="eastAsia" w:ascii="宋体" w:hAnsi="宋体" w:cs="Courier New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。</w:t>
      </w:r>
    </w:p>
    <w:p w14:paraId="0D482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</w:pPr>
      <w:r>
        <w:rPr>
          <w:rFonts w:hint="eastAsia" w:ascii="宋体" w:hAnsi="宋体" w:cs="宋体"/>
          <w:sz w:val="28"/>
          <w:szCs w:val="28"/>
          <w:highlight w:val="none"/>
          <w:lang w:val="en-US" w:eastAsia="zh-CN"/>
        </w:rPr>
        <w:t>4、</w:t>
      </w:r>
      <w:r>
        <w:rPr>
          <w:rFonts w:hint="eastAsia" w:ascii="宋体" w:hAnsi="宋体" w:cs="宋体"/>
          <w:sz w:val="28"/>
          <w:szCs w:val="28"/>
          <w:highlight w:val="none"/>
        </w:rPr>
        <w:t>符合性评审结果情况如下：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赣州汇贤物业管理有限公司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赣州市恒洋物业管理有限公司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赣州英悦物业管理有限公司</w:t>
      </w:r>
      <w:r>
        <w:rPr>
          <w:rFonts w:hint="eastAsia" w:ascii="宋体" w:hAnsi="宋体"/>
          <w:sz w:val="28"/>
          <w:szCs w:val="28"/>
          <w:highlight w:val="none"/>
          <w:u w:val="single"/>
          <w:lang w:eastAsia="zh-CN"/>
        </w:rPr>
        <w:t>、</w:t>
      </w:r>
      <w:r>
        <w:rPr>
          <w:rFonts w:hint="eastAsia" w:ascii="宋体" w:hAnsi="宋体"/>
          <w:sz w:val="28"/>
          <w:szCs w:val="28"/>
          <w:highlight w:val="none"/>
          <w:u w:val="single"/>
        </w:rPr>
        <w:t>赣州市德威物业管理有限责任公司</w:t>
      </w:r>
      <w:r>
        <w:rPr>
          <w:rFonts w:hint="eastAsia" w:ascii="宋体" w:hAnsi="宋体" w:cs="宋体"/>
          <w:sz w:val="28"/>
          <w:szCs w:val="28"/>
          <w:highlight w:val="none"/>
          <w:u w:val="single"/>
        </w:rPr>
        <w:t>的响应文件符合性审核</w:t>
      </w:r>
      <w:r>
        <w:rPr>
          <w:rFonts w:hint="eastAsia" w:ascii="宋体" w:hAnsi="宋体" w:cs="宋体"/>
          <w:sz w:val="28"/>
          <w:szCs w:val="28"/>
          <w:highlight w:val="none"/>
          <w:u w:val="single"/>
          <w:lang w:eastAsia="zh-CN"/>
        </w:rPr>
        <w:t>均通过</w:t>
      </w:r>
      <w:r>
        <w:rPr>
          <w:rFonts w:hint="eastAsia" w:ascii="宋体" w:hAnsi="宋体" w:cs="Courier New"/>
          <w:b w:val="0"/>
          <w:bCs w:val="0"/>
          <w:color w:val="000000"/>
          <w:sz w:val="28"/>
          <w:szCs w:val="28"/>
          <w:highlight w:val="none"/>
          <w:u w:val="single"/>
          <w:lang w:val="en-US" w:eastAsia="zh-CN"/>
        </w:rPr>
        <w:t>。</w:t>
      </w:r>
    </w:p>
    <w:p w14:paraId="45DF4B0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5、</w:t>
      </w:r>
      <w:r>
        <w:rPr>
          <w:rFonts w:hint="eastAsia" w:ascii="宋体" w:hAnsi="宋体" w:eastAsia="宋体" w:cs="宋体"/>
          <w:sz w:val="28"/>
          <w:szCs w:val="28"/>
        </w:rPr>
        <w:t>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招标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文件</w:t>
      </w:r>
      <w:r>
        <w:rPr>
          <w:rFonts w:hint="eastAsia" w:ascii="宋体" w:hAnsi="宋体" w:eastAsia="宋体" w:cs="宋体"/>
          <w:sz w:val="28"/>
          <w:szCs w:val="28"/>
        </w:rPr>
        <w:t>规定，该项目评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审</w:t>
      </w:r>
      <w:r>
        <w:rPr>
          <w:rFonts w:hint="eastAsia" w:ascii="宋体" w:hAnsi="宋体" w:eastAsia="宋体" w:cs="宋体"/>
          <w:sz w:val="28"/>
          <w:szCs w:val="28"/>
        </w:rPr>
        <w:t>采用综合评分法，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评标委员会</w:t>
      </w:r>
      <w:r>
        <w:rPr>
          <w:rFonts w:hint="eastAsia" w:ascii="宋体" w:hAnsi="宋体" w:eastAsia="宋体" w:cs="宋体"/>
          <w:sz w:val="28"/>
          <w:szCs w:val="28"/>
        </w:rPr>
        <w:t>按规定进行了评审，现将评审情况报告如下：</w:t>
      </w:r>
    </w:p>
    <w:tbl>
      <w:tblPr>
        <w:tblStyle w:val="2"/>
        <w:tblW w:w="534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3906"/>
        <w:gridCol w:w="1200"/>
        <w:gridCol w:w="1292"/>
        <w:gridCol w:w="1058"/>
        <w:gridCol w:w="1150"/>
        <w:gridCol w:w="733"/>
      </w:tblGrid>
      <w:tr w14:paraId="6F019A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04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B4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响应供应商名称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ED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资信评分汇总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C8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技术分汇总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D5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商务分汇总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D0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总得分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28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排序</w:t>
            </w:r>
          </w:p>
        </w:tc>
      </w:tr>
      <w:tr w14:paraId="1CF6B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1C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7D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赣州汇贤物业管理有限公司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5C9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9.00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143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57.60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C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A4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70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5215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B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6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赣州市德威物业管理有限责任公司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0C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13.00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9E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51.00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D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E6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D15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A747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7F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1E4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赣州市恒洋物业管理有限公司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93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E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A69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A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55.40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20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2990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7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4</w:t>
            </w:r>
          </w:p>
        </w:tc>
        <w:tc>
          <w:tcPr>
            <w:tcW w:w="1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2AF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赣州英悦物业管理有限公司</w:t>
            </w: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52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33.00 </w:t>
            </w:r>
          </w:p>
        </w:tc>
        <w:tc>
          <w:tcPr>
            <w:tcW w:w="5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13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5.00 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87E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86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</w:tbl>
    <w:p w14:paraId="3333FB81">
      <w:pPr>
        <w:numPr>
          <w:ilvl w:val="0"/>
          <w:numId w:val="0"/>
        </w:numPr>
        <w:ind w:firstLine="560" w:firstLineChars="200"/>
        <w:rPr>
          <w:rFonts w:hint="default"/>
          <w:color w:val="auto"/>
          <w:highlight w:val="none"/>
          <w:u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评审结果：综合本项目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的评审情况，根据本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招标文件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规定，本次采购采用综合评分法，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评标委员会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  <w:t>确定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lang w:val="en-US" w:eastAsia="zh-CN"/>
        </w:rPr>
        <w:t>综合得分：</w:t>
      </w:r>
      <w:r>
        <w:rPr>
          <w:rFonts w:hint="eastAsia" w:ascii="宋体" w:hAnsi="宋体" w:eastAsia="宋体" w:cs="宋体"/>
          <w:sz w:val="28"/>
          <w:szCs w:val="28"/>
          <w:highlight w:val="none"/>
          <w:u w:val="single"/>
          <w:lang w:val="en-US" w:eastAsia="zh-CN"/>
        </w:rPr>
        <w:t>71.60分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，排序第一的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single"/>
          <w:lang w:val="en-US" w:eastAsia="zh-CN"/>
        </w:rPr>
        <w:t>赣州汇贤物业管理有限公司</w:t>
      </w:r>
      <w:r>
        <w:rPr>
          <w:rFonts w:hint="eastAsia" w:ascii="宋体" w:hAnsi="宋体" w:eastAsia="宋体" w:cs="宋体"/>
          <w:color w:val="auto"/>
          <w:sz w:val="28"/>
          <w:szCs w:val="28"/>
          <w:highlight w:val="none"/>
          <w:u w:val="none"/>
          <w:lang w:val="en-US" w:eastAsia="zh-CN"/>
        </w:rPr>
        <w:t>为中标候选人。</w:t>
      </w:r>
    </w:p>
    <w:p w14:paraId="7EFABDDD">
      <w:pPr>
        <w:ind w:firstLine="540" w:firstLineChars="200"/>
        <w:rPr>
          <w:rFonts w:hint="eastAsia" w:ascii="宋体" w:hAnsi="宋体" w:cs="宋体"/>
          <w:color w:val="auto"/>
          <w:sz w:val="27"/>
          <w:szCs w:val="27"/>
          <w:highlight w:val="none"/>
        </w:rPr>
      </w:pPr>
      <w:r>
        <w:rPr>
          <w:rFonts w:hint="eastAsia" w:ascii="宋体" w:hAnsi="宋体" w:cs="宋体"/>
          <w:color w:val="auto"/>
          <w:sz w:val="27"/>
          <w:szCs w:val="27"/>
          <w:highlight w:val="none"/>
        </w:rPr>
        <w:t xml:space="preserve">特此报告。          </w:t>
      </w:r>
    </w:p>
    <w:p w14:paraId="26F4282F">
      <w:pPr>
        <w:spacing w:line="520" w:lineRule="exact"/>
        <w:rPr>
          <w:rFonts w:hint="eastAsia" w:ascii="宋体" w:hAnsi="宋体" w:cs="宋体"/>
          <w:color w:val="auto"/>
          <w:sz w:val="27"/>
          <w:szCs w:val="27"/>
          <w:highlight w:val="none"/>
          <w:lang w:val="en-US" w:eastAsia="zh-CN"/>
        </w:rPr>
      </w:pPr>
    </w:p>
    <w:p w14:paraId="77697270">
      <w:pPr>
        <w:bidi w:val="0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1630045</wp:posOffset>
            </wp:positionH>
            <wp:positionV relativeFrom="paragraph">
              <wp:posOffset>1313180</wp:posOffset>
            </wp:positionV>
            <wp:extent cx="1228725" cy="609600"/>
            <wp:effectExtent l="0" t="0" r="9525" b="0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4719955</wp:posOffset>
            </wp:positionH>
            <wp:positionV relativeFrom="paragraph">
              <wp:posOffset>768350</wp:posOffset>
            </wp:positionV>
            <wp:extent cx="894080" cy="631825"/>
            <wp:effectExtent l="0" t="0" r="1270" b="1587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94080" cy="63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inline distT="0" distB="0" distL="114300" distR="114300">
            <wp:extent cx="5898515" cy="21666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98515" cy="216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color w:val="000000"/>
          <w:sz w:val="27"/>
          <w:szCs w:val="27"/>
        </w:rPr>
        <w:t xml:space="preserve">     </w:t>
      </w:r>
    </w:p>
    <w:p w14:paraId="1D7DC5E0">
      <w:pPr>
        <w:spacing w:line="360" w:lineRule="auto"/>
        <w:ind w:firstLine="56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</w:p>
    <w:p w14:paraId="69219B61">
      <w:pPr>
        <w:spacing w:line="360" w:lineRule="auto"/>
        <w:ind w:firstLine="560"/>
        <w:jc w:val="right"/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8"/>
          <w:szCs w:val="28"/>
          <w:lang w:eastAsia="zh-CN"/>
        </w:rPr>
        <w:t>江西远泰项目管理有限公司</w:t>
      </w:r>
    </w:p>
    <w:p w14:paraId="2D70BB1A">
      <w:pPr>
        <w:spacing w:line="360" w:lineRule="auto"/>
        <w:ind w:firstLine="560"/>
        <w:jc w:val="right"/>
        <w:rPr>
          <w:rFonts w:hint="eastAsia" w:ascii="宋体" w:hAnsi="宋体" w:eastAsia="宋体" w:cs="宋体"/>
          <w:color w:val="000000"/>
          <w:sz w:val="27"/>
          <w:szCs w:val="27"/>
          <w:lang w:eastAsia="zh-CN"/>
        </w:rPr>
      </w:pPr>
      <w:r>
        <w:rPr>
          <w:rFonts w:hint="eastAsia" w:ascii="宋体" w:hAnsi="宋体" w:cs="宋体"/>
          <w:color w:val="000000"/>
          <w:sz w:val="27"/>
          <w:szCs w:val="27"/>
        </w:rPr>
        <w:t xml:space="preserve"> 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202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6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年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月</w:t>
      </w:r>
      <w:r>
        <w:rPr>
          <w:rFonts w:hint="eastAsia" w:ascii="宋体" w:hAnsi="宋体" w:cs="宋体"/>
          <w:color w:val="000000"/>
          <w:sz w:val="27"/>
          <w:szCs w:val="27"/>
          <w:lang w:val="en-US" w:eastAsia="zh-CN"/>
        </w:rPr>
        <w:t>8</w:t>
      </w:r>
      <w:r>
        <w:rPr>
          <w:rFonts w:hint="eastAsia" w:ascii="宋体" w:hAnsi="宋体" w:cs="宋体"/>
          <w:color w:val="000000"/>
          <w:sz w:val="27"/>
          <w:szCs w:val="27"/>
          <w:lang w:eastAsia="zh-CN"/>
        </w:rPr>
        <w:t>日</w:t>
      </w:r>
    </w:p>
    <w:p w14:paraId="445AB648"/>
    <w:sectPr>
      <w:pgSz w:w="11906" w:h="16838"/>
      <w:pgMar w:top="1440" w:right="1304" w:bottom="1440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377F54A"/>
    <w:multiLevelType w:val="singleLevel"/>
    <w:tmpl w:val="C377F54A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C52E60"/>
    <w:rsid w:val="5F0279CD"/>
    <w:rsid w:val="72C52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744</Words>
  <Characters>849</Characters>
  <Lines>0</Lines>
  <Paragraphs>0</Paragraphs>
  <TotalTime>3</TotalTime>
  <ScaleCrop>false</ScaleCrop>
  <LinksUpToDate>false</LinksUpToDate>
  <CharactersWithSpaces>883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2026-05-09T06:54:00Z</dcterms:created>
  <dc:creator>admin</dc:creator>
  <cp:lastModifiedBy>admin</cp:lastModifiedBy>
  <dcterms:modified xsi:type="dcterms:W3CDTF">2026-05-09T06:59:38Z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D942F8CC1EDD43B1870034111CA3106F_11</vt:lpwstr>
  </property>
  <property fmtid="{D5CDD505-2E9C-101B-9397-08002B2CF9AE}" pid="4" name="KSOTemplateDocerSaveRecord">
    <vt:lpwstr>eyJoZGlkIjoiMTEwZDI1Y2E3YTc3NThlOGQ3OTJkZDQ3YWVmNmNhMGIiLCJ1c2VySWQiOiI0NTY1OTU3NDgifQ==</vt:lpwstr>
  </property>
</Properties>
</file>