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text" w:horzAnchor="page" w:tblpXSpec="center" w:tblpY="-412"/>
        <w:tblOverlap w:val="never"/>
        <w:tblW w:w="9600" w:type="dxa"/>
        <w:jc w:val="center"/>
        <w:tblLayout w:type="fixed"/>
        <w:tblCellMar>
          <w:top w:w="0" w:type="dxa"/>
          <w:left w:w="108" w:type="dxa"/>
          <w:bottom w:w="0" w:type="dxa"/>
          <w:right w:w="108" w:type="dxa"/>
        </w:tblCellMar>
      </w:tblPr>
      <w:tblGrid>
        <w:gridCol w:w="1883"/>
        <w:gridCol w:w="615"/>
        <w:gridCol w:w="5820"/>
        <w:gridCol w:w="1282"/>
      </w:tblGrid>
      <w:tr>
        <w:tblPrEx>
          <w:tblCellMar>
            <w:top w:w="0" w:type="dxa"/>
            <w:left w:w="108" w:type="dxa"/>
            <w:bottom w:w="0" w:type="dxa"/>
            <w:right w:w="108" w:type="dxa"/>
          </w:tblCellMar>
        </w:tblPrEx>
        <w:trPr>
          <w:trHeight w:val="870" w:hRule="atLeast"/>
          <w:jc w:val="center"/>
        </w:trPr>
        <w:tc>
          <w:tcPr>
            <w:tcW w:w="9600" w:type="dxa"/>
            <w:gridSpan w:val="4"/>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300" w:lineRule="exact"/>
              <w:ind w:firstLine="320" w:firstLineChars="100"/>
              <w:textAlignment w:val="auto"/>
              <w:rPr>
                <w:rFonts w:eastAsia="黑体"/>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eastAsia="方正小标宋简体"/>
                <w:color w:val="000000"/>
                <w:sz w:val="44"/>
                <w:szCs w:val="44"/>
              </w:rPr>
            </w:pPr>
            <w:r>
              <w:rPr>
                <w:rFonts w:hint="eastAsia" w:eastAsia="方正小标宋简体"/>
                <w:color w:val="000000"/>
                <w:sz w:val="44"/>
                <w:szCs w:val="44"/>
                <w:lang w:eastAsia="zh-CN"/>
              </w:rPr>
              <w:t>赣州市城市住房服务中心</w:t>
            </w:r>
            <w:r>
              <w:rPr>
                <w:rFonts w:eastAsia="方正小标宋简体"/>
                <w:color w:val="000000"/>
                <w:sz w:val="44"/>
                <w:szCs w:val="44"/>
              </w:rPr>
              <w:t>行政规范性文件</w:t>
            </w:r>
          </w:p>
          <w:p>
            <w:pPr>
              <w:keepNext w:val="0"/>
              <w:keepLines w:val="0"/>
              <w:pageBreakBefore w:val="0"/>
              <w:widowControl w:val="0"/>
              <w:kinsoku/>
              <w:wordWrap/>
              <w:overflowPunct/>
              <w:topLinePunct w:val="0"/>
              <w:autoSpaceDE/>
              <w:autoSpaceDN/>
              <w:bidi w:val="0"/>
              <w:adjustRightInd/>
              <w:snapToGrid/>
              <w:spacing w:line="700" w:lineRule="exact"/>
              <w:ind w:firstLine="440" w:firstLineChars="100"/>
              <w:jc w:val="center"/>
              <w:textAlignment w:val="auto"/>
              <w:rPr>
                <w:rFonts w:eastAsia="方正小标宋简体"/>
                <w:color w:val="000000"/>
                <w:sz w:val="44"/>
                <w:szCs w:val="44"/>
              </w:rPr>
            </w:pPr>
            <w:r>
              <w:rPr>
                <w:rFonts w:eastAsia="方正小标宋简体"/>
                <w:color w:val="000000"/>
                <w:sz w:val="44"/>
                <w:szCs w:val="44"/>
              </w:rPr>
              <w:t>清理情况统计表</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宋体" w:eastAsia="黑体" w:cs="宋体"/>
                <w:color w:val="555555"/>
                <w:sz w:val="28"/>
                <w:szCs w:val="28"/>
              </w:rPr>
            </w:pPr>
            <w:r>
              <w:rPr>
                <w:rFonts w:eastAsia="方正小标宋简体"/>
                <w:color w:val="000000"/>
                <w:sz w:val="44"/>
                <w:szCs w:val="44"/>
              </w:rPr>
              <w:t xml:space="preserve"> </w:t>
            </w:r>
          </w:p>
        </w:tc>
      </w:tr>
      <w:tr>
        <w:tblPrEx>
          <w:tblCellMar>
            <w:top w:w="0" w:type="dxa"/>
            <w:left w:w="108" w:type="dxa"/>
            <w:bottom w:w="0" w:type="dxa"/>
            <w:right w:w="108" w:type="dxa"/>
          </w:tblCellMar>
        </w:tblPrEx>
        <w:trPr>
          <w:trHeight w:val="573" w:hRule="atLeast"/>
          <w:jc w:val="center"/>
        </w:trPr>
        <w:tc>
          <w:tcPr>
            <w:tcW w:w="18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部门名称</w:t>
            </w:r>
          </w:p>
        </w:tc>
        <w:tc>
          <w:tcPr>
            <w:tcW w:w="7717" w:type="dxa"/>
            <w:gridSpan w:val="3"/>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lang w:eastAsia="zh-CN"/>
              </w:rPr>
            </w:pPr>
            <w:r>
              <w:rPr>
                <w:rFonts w:hint="eastAsia" w:ascii="黑体" w:hAnsi="黑体" w:eastAsia="黑体" w:cs="黑体"/>
                <w:color w:val="000000"/>
                <w:sz w:val="24"/>
              </w:rPr>
              <w:t xml:space="preserve">　 </w:t>
            </w:r>
            <w:r>
              <w:rPr>
                <w:rFonts w:hint="eastAsia" w:ascii="黑体" w:hAnsi="黑体" w:eastAsia="黑体" w:cs="黑体"/>
                <w:color w:val="000000"/>
                <w:sz w:val="24"/>
                <w:lang w:eastAsia="zh-CN"/>
              </w:rPr>
              <w:t>赣州市城市住房服务中心</w:t>
            </w:r>
          </w:p>
        </w:tc>
      </w:tr>
      <w:tr>
        <w:tblPrEx>
          <w:tblCellMar>
            <w:top w:w="0" w:type="dxa"/>
            <w:left w:w="108" w:type="dxa"/>
            <w:bottom w:w="0" w:type="dxa"/>
            <w:right w:w="108" w:type="dxa"/>
          </w:tblCellMar>
        </w:tblPrEx>
        <w:trPr>
          <w:trHeight w:val="283" w:hRule="atLeast"/>
          <w:jc w:val="center"/>
        </w:trPr>
        <w:tc>
          <w:tcPr>
            <w:tcW w:w="1883"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纳入清理范围的行政</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规范性文件</w:t>
            </w:r>
          </w:p>
        </w:tc>
        <w:tc>
          <w:tcPr>
            <w:tcW w:w="7717" w:type="dxa"/>
            <w:gridSpan w:val="3"/>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总计</w:t>
            </w:r>
            <w:r>
              <w:rPr>
                <w:rFonts w:hint="eastAsia" w:ascii="黑体" w:hAnsi="黑体" w:eastAsia="黑体" w:cs="黑体"/>
                <w:color w:val="000000"/>
                <w:sz w:val="24"/>
                <w:lang w:val="en-US" w:eastAsia="zh-CN"/>
              </w:rPr>
              <w:t>23</w:t>
            </w:r>
            <w:r>
              <w:rPr>
                <w:rFonts w:hint="eastAsia" w:ascii="黑体" w:hAnsi="黑体" w:eastAsia="黑体" w:cs="黑体"/>
                <w:color w:val="000000"/>
                <w:sz w:val="24"/>
              </w:rPr>
              <w:t xml:space="preserve"> 件 </w:t>
            </w:r>
          </w:p>
        </w:tc>
      </w:tr>
      <w:tr>
        <w:tblPrEx>
          <w:tblCellMar>
            <w:top w:w="0" w:type="dxa"/>
            <w:left w:w="108" w:type="dxa"/>
            <w:bottom w:w="0" w:type="dxa"/>
            <w:right w:w="108" w:type="dxa"/>
          </w:tblCellMar>
        </w:tblPrEx>
        <w:trPr>
          <w:trHeight w:val="283" w:hRule="atLeast"/>
          <w:jc w:val="center"/>
        </w:trPr>
        <w:tc>
          <w:tcPr>
            <w:tcW w:w="188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一、已废止的行政规范性文件       （合计</w:t>
            </w:r>
            <w:r>
              <w:rPr>
                <w:rFonts w:hint="eastAsia" w:ascii="黑体" w:hAnsi="黑体" w:eastAsia="黑体" w:cs="黑体"/>
                <w:color w:val="000000"/>
                <w:sz w:val="24"/>
                <w:lang w:val="en-US" w:eastAsia="zh-CN"/>
              </w:rPr>
              <w:t>2</w:t>
            </w:r>
            <w:r>
              <w:rPr>
                <w:rFonts w:hint="eastAsia" w:ascii="黑体" w:hAnsi="黑体" w:eastAsia="黑体" w:cs="黑体"/>
                <w:color w:val="000000"/>
                <w:sz w:val="24"/>
              </w:rPr>
              <w:t xml:space="preserve">件） </w:t>
            </w:r>
          </w:p>
        </w:tc>
        <w:tc>
          <w:tcPr>
            <w:tcW w:w="6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序号 </w:t>
            </w:r>
          </w:p>
        </w:tc>
        <w:tc>
          <w:tcPr>
            <w:tcW w:w="58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规范性文件名称</w:t>
            </w:r>
            <w:r>
              <w:rPr>
                <w:rFonts w:hint="eastAsia" w:ascii="黑体" w:hAnsi="黑体" w:eastAsia="黑体" w:cs="黑体"/>
                <w:color w:val="000000"/>
                <w:sz w:val="24"/>
                <w:lang w:eastAsia="zh-CN"/>
              </w:rPr>
              <w:t>及</w:t>
            </w:r>
            <w:r>
              <w:rPr>
                <w:rFonts w:hint="eastAsia" w:ascii="黑体" w:hAnsi="黑体" w:eastAsia="黑体" w:cs="黑体"/>
                <w:color w:val="000000"/>
                <w:sz w:val="24"/>
                <w:lang w:val="en-US" w:eastAsia="zh-CN"/>
              </w:rPr>
              <w:t>文号</w:t>
            </w:r>
            <w:r>
              <w:rPr>
                <w:rFonts w:hint="eastAsia" w:ascii="黑体" w:hAnsi="黑体" w:eastAsia="黑体" w:cs="黑体"/>
                <w:color w:val="000000"/>
                <w:sz w:val="24"/>
              </w:rPr>
              <w:t xml:space="preserve"> </w:t>
            </w:r>
          </w:p>
        </w:tc>
        <w:tc>
          <w:tcPr>
            <w:tcW w:w="128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备注 </w:t>
            </w:r>
          </w:p>
        </w:tc>
      </w:tr>
      <w:tr>
        <w:tblPrEx>
          <w:tblCellMar>
            <w:top w:w="0" w:type="dxa"/>
            <w:left w:w="108" w:type="dxa"/>
            <w:bottom w:w="0" w:type="dxa"/>
            <w:right w:w="108" w:type="dxa"/>
          </w:tblCellMar>
        </w:tblPrEx>
        <w:trPr>
          <w:trHeight w:val="283" w:hRule="atLeast"/>
          <w:jc w:val="center"/>
        </w:trPr>
        <w:tc>
          <w:tcPr>
            <w:tcW w:w="18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58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关于印发加快推进中心城区棚户区改造的实施方案的通知（赣市府办字〔2013〕83号）</w:t>
            </w:r>
          </w:p>
        </w:tc>
        <w:tc>
          <w:tcPr>
            <w:tcW w:w="128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58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《关于印发&lt;赣州市住宅小区物业管理考核办法&gt;（试行）的通知》（赣市建字〔201</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〕112号）</w:t>
            </w:r>
          </w:p>
        </w:tc>
        <w:tc>
          <w:tcPr>
            <w:tcW w:w="128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二、已宣布失效的行政规范性文件  （合计</w:t>
            </w:r>
            <w:r>
              <w:rPr>
                <w:rFonts w:hint="eastAsia" w:ascii="黑体" w:hAnsi="黑体" w:eastAsia="黑体" w:cs="黑体"/>
                <w:color w:val="000000"/>
                <w:sz w:val="24"/>
                <w:lang w:val="en-US" w:eastAsia="zh-CN"/>
              </w:rPr>
              <w:t>2</w:t>
            </w:r>
            <w:r>
              <w:rPr>
                <w:rFonts w:hint="eastAsia" w:ascii="黑体" w:hAnsi="黑体" w:eastAsia="黑体" w:cs="黑体"/>
                <w:color w:val="000000"/>
                <w:sz w:val="24"/>
              </w:rPr>
              <w:t xml:space="preserve">件） </w:t>
            </w:r>
          </w:p>
        </w:tc>
        <w:tc>
          <w:tcPr>
            <w:tcW w:w="61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序号</w:t>
            </w:r>
          </w:p>
        </w:tc>
        <w:tc>
          <w:tcPr>
            <w:tcW w:w="58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规范性文件名称</w:t>
            </w:r>
            <w:r>
              <w:rPr>
                <w:rFonts w:hint="eastAsia" w:ascii="黑体" w:hAnsi="黑体" w:eastAsia="黑体" w:cs="黑体"/>
                <w:color w:val="000000"/>
                <w:sz w:val="24"/>
                <w:lang w:eastAsia="zh-CN"/>
              </w:rPr>
              <w:t>及</w:t>
            </w:r>
            <w:r>
              <w:rPr>
                <w:rFonts w:hint="eastAsia" w:ascii="黑体" w:hAnsi="黑体" w:eastAsia="黑体" w:cs="黑体"/>
                <w:color w:val="000000"/>
                <w:sz w:val="24"/>
                <w:lang w:val="en-US" w:eastAsia="zh-CN"/>
              </w:rPr>
              <w:t>文号</w:t>
            </w:r>
            <w:r>
              <w:rPr>
                <w:rFonts w:hint="eastAsia" w:ascii="黑体" w:hAnsi="黑体" w:eastAsia="黑体" w:cs="黑体"/>
                <w:color w:val="000000"/>
                <w:sz w:val="24"/>
              </w:rPr>
              <w:t xml:space="preserve"> </w:t>
            </w:r>
          </w:p>
        </w:tc>
        <w:tc>
          <w:tcPr>
            <w:tcW w:w="128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备注 </w:t>
            </w:r>
          </w:p>
        </w:tc>
      </w:tr>
      <w:tr>
        <w:tblPrEx>
          <w:tblCellMar>
            <w:top w:w="0" w:type="dxa"/>
            <w:left w:w="108" w:type="dxa"/>
            <w:bottom w:w="0" w:type="dxa"/>
            <w:right w:w="108" w:type="dxa"/>
          </w:tblCellMar>
        </w:tblPrEx>
        <w:trPr>
          <w:trHeight w:val="283" w:hRule="atLeast"/>
          <w:jc w:val="center"/>
        </w:trPr>
        <w:tc>
          <w:tcPr>
            <w:tcW w:w="18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关于印发赣州市中心城区公共租赁住房出售管理暂行办法的通知（赣市府发〔2014〕27号）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《关于印发&lt;赣州市物业服务企业信用信息管理办法&gt;(试行)、&lt;赣州市物业服务企业信用记分标准(试行)的通知》（赣市房字〔201</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〕87号）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615" w:hRule="atLeast"/>
          <w:jc w:val="center"/>
        </w:trPr>
        <w:tc>
          <w:tcPr>
            <w:tcW w:w="1883"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三、</w:t>
            </w:r>
            <w:r>
              <w:rPr>
                <w:rFonts w:hint="eastAsia" w:ascii="黑体" w:hAnsi="黑体" w:eastAsia="黑体" w:cs="黑体"/>
                <w:color w:val="000000"/>
                <w:sz w:val="24"/>
                <w:lang w:eastAsia="zh-CN"/>
              </w:rPr>
              <w:t>拟</w:t>
            </w:r>
            <w:r>
              <w:rPr>
                <w:rFonts w:hint="eastAsia" w:ascii="黑体" w:hAnsi="黑体" w:eastAsia="黑体" w:cs="黑体"/>
                <w:color w:val="000000"/>
                <w:sz w:val="24"/>
              </w:rPr>
              <w:t>修改的行政规范性文件        (合计</w:t>
            </w:r>
            <w:r>
              <w:rPr>
                <w:rFonts w:hint="eastAsia" w:ascii="黑体" w:hAnsi="黑体" w:eastAsia="黑体" w:cs="黑体"/>
                <w:color w:val="000000"/>
                <w:sz w:val="24"/>
                <w:lang w:val="en-US" w:eastAsia="zh-CN"/>
              </w:rPr>
              <w:t>0</w:t>
            </w:r>
            <w:r>
              <w:rPr>
                <w:rFonts w:hint="eastAsia" w:ascii="黑体" w:hAnsi="黑体" w:eastAsia="黑体" w:cs="黑体"/>
                <w:color w:val="000000"/>
                <w:sz w:val="24"/>
              </w:rPr>
              <w:t xml:space="preserve">件） </w:t>
            </w: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序号 </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规范性文件名称</w:t>
            </w:r>
            <w:r>
              <w:rPr>
                <w:rFonts w:hint="eastAsia" w:ascii="黑体" w:hAnsi="黑体" w:eastAsia="黑体" w:cs="黑体"/>
                <w:color w:val="000000"/>
                <w:sz w:val="24"/>
                <w:lang w:eastAsia="zh-CN"/>
              </w:rPr>
              <w:t>及</w:t>
            </w:r>
            <w:r>
              <w:rPr>
                <w:rFonts w:hint="eastAsia" w:ascii="黑体" w:hAnsi="黑体" w:eastAsia="黑体" w:cs="黑体"/>
                <w:color w:val="000000"/>
                <w:sz w:val="24"/>
                <w:lang w:val="en-US" w:eastAsia="zh-CN"/>
              </w:rPr>
              <w:t>文号</w:t>
            </w:r>
            <w:r>
              <w:rPr>
                <w:rFonts w:hint="eastAsia" w:ascii="黑体" w:hAnsi="黑体" w:eastAsia="黑体" w:cs="黑体"/>
                <w:color w:val="000000"/>
                <w:sz w:val="24"/>
              </w:rPr>
              <w:t xml:space="preserve"> </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备注 </w:t>
            </w:r>
          </w:p>
        </w:tc>
      </w:tr>
      <w:tr>
        <w:tblPrEx>
          <w:tblCellMar>
            <w:top w:w="0" w:type="dxa"/>
            <w:left w:w="108" w:type="dxa"/>
            <w:bottom w:w="0" w:type="dxa"/>
            <w:right w:w="108" w:type="dxa"/>
          </w:tblCellMar>
        </w:tblPrEx>
        <w:trPr>
          <w:trHeight w:val="283" w:hRule="atLeast"/>
          <w:jc w:val="center"/>
        </w:trPr>
        <w:tc>
          <w:tcPr>
            <w:tcW w:w="188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r>
              <w:rPr>
                <w:rFonts w:hint="eastAsia" w:ascii="仿宋_GB2312" w:hAnsi="仿宋_GB2312" w:eastAsia="仿宋_GB2312" w:cs="仿宋_GB2312"/>
                <w:color w:val="000000"/>
                <w:sz w:val="24"/>
                <w:szCs w:val="24"/>
                <w:lang w:eastAsia="zh-CN"/>
              </w:rPr>
              <w:t>无</w:t>
            </w:r>
            <w:r>
              <w:rPr>
                <w:rFonts w:hint="eastAsia" w:ascii="仿宋_GB2312" w:hAnsi="仿宋_GB2312" w:eastAsia="仿宋_GB2312" w:cs="仿宋_GB2312"/>
                <w:color w:val="000000"/>
                <w:sz w:val="24"/>
                <w:szCs w:val="24"/>
              </w:rPr>
              <w:t xml:space="preserve"> </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四、继续有效的行政规范性文件    (合计   </w:t>
            </w:r>
            <w:r>
              <w:rPr>
                <w:rFonts w:hint="eastAsia" w:ascii="黑体" w:hAnsi="黑体" w:eastAsia="黑体" w:cs="黑体"/>
                <w:color w:val="000000"/>
                <w:sz w:val="24"/>
                <w:lang w:val="en-US" w:eastAsia="zh-CN"/>
              </w:rPr>
              <w:t>19</w:t>
            </w:r>
            <w:r>
              <w:rPr>
                <w:rFonts w:hint="eastAsia" w:ascii="黑体" w:hAnsi="黑体" w:eastAsia="黑体" w:cs="黑体"/>
                <w:color w:val="000000"/>
                <w:sz w:val="24"/>
              </w:rPr>
              <w:t>件）</w:t>
            </w: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序号 </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规范性文件名称</w:t>
            </w:r>
            <w:r>
              <w:rPr>
                <w:rFonts w:hint="eastAsia" w:ascii="黑体" w:hAnsi="黑体" w:eastAsia="黑体" w:cs="黑体"/>
                <w:color w:val="000000"/>
                <w:sz w:val="24"/>
                <w:lang w:eastAsia="zh-CN"/>
              </w:rPr>
              <w:t>及</w:t>
            </w:r>
            <w:r>
              <w:rPr>
                <w:rFonts w:hint="eastAsia" w:ascii="黑体" w:hAnsi="黑体" w:eastAsia="黑体" w:cs="黑体"/>
                <w:color w:val="000000"/>
                <w:sz w:val="24"/>
                <w:lang w:val="en-US" w:eastAsia="zh-CN"/>
              </w:rPr>
              <w:t>文号</w:t>
            </w:r>
            <w:r>
              <w:rPr>
                <w:rFonts w:hint="eastAsia" w:ascii="黑体" w:hAnsi="黑体" w:eastAsia="黑体" w:cs="黑体"/>
                <w:color w:val="000000"/>
                <w:sz w:val="24"/>
              </w:rPr>
              <w:t xml:space="preserve"> </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黑体" w:eastAsia="黑体" w:cs="黑体"/>
                <w:color w:val="000000"/>
                <w:sz w:val="24"/>
              </w:rPr>
            </w:pPr>
            <w:r>
              <w:rPr>
                <w:rFonts w:hint="eastAsia" w:ascii="黑体" w:hAnsi="黑体" w:eastAsia="黑体" w:cs="黑体"/>
                <w:color w:val="000000"/>
                <w:sz w:val="24"/>
              </w:rPr>
              <w:t xml:space="preserve">备注 </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关于加强城镇既有房屋安全鉴定管理有关工作的通知（赣市住房字〔2022〕22号）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关于印发赣州市贯彻执实施《国有土地上房屋征收与补偿条例若干意见（试行）的通知（赣市府发〔2012〕7号）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关于印发赣州市中心城区已购经济适用住房回购及上市交易管理实施细则的通知（赣市府发〔2012〕18号）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关于印发赣州市中心城区公共租赁住房管理实施细则（试行）的通知（赣市府发〔2012〕19号）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关于印发加快推进经济适用住房廉租住房和公共租赁住房三房合一建设管理实施方案的通知（赣市府发〔2012〕20号）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关于印发《关于支持工业园区企业建设公共租赁住房的实施意见》的通知（赣市府发〔2013〕7号）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283" w:hRule="atLeast"/>
          <w:jc w:val="center"/>
        </w:trPr>
        <w:tc>
          <w:tcPr>
            <w:tcW w:w="1883" w:type="dxa"/>
            <w:vMerge w:val="continue"/>
            <w:tcBorders>
              <w:top w:val="nil"/>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印发《关于加快保障农村中小学教师住房的意见》的通知（赣市府发〔2013〕13号）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283" w:hRule="atLeast"/>
          <w:jc w:val="center"/>
        </w:trPr>
        <w:tc>
          <w:tcPr>
            <w:tcW w:w="1883"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《关于进一步加强住宅专项维修资金管理的规定的通知》（赣市房字〔2014〕71号）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原房产局印发</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《赣州市中心城区住宅小区共用消防设施住宅专项维修资金使用办法》（赣市房字〔20</w:t>
            </w: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61</w:t>
            </w:r>
            <w:r>
              <w:rPr>
                <w:rFonts w:hint="eastAsia" w:ascii="仿宋_GB2312" w:hAnsi="仿宋_GB2312" w:eastAsia="仿宋_GB2312" w:cs="仿宋_GB2312"/>
                <w:color w:val="000000"/>
                <w:sz w:val="24"/>
                <w:szCs w:val="24"/>
                <w:lang w:eastAsia="zh-CN"/>
              </w:rPr>
              <w:t>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原房产局印发</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《关于调整我市中心城区住宅专项维修资金交存标准的通知》（赣市房字〔2018〕66号）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原房产局印发</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《关于加强我市住宅专项维修资金管理的意见》</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市住建局</w:t>
            </w:r>
            <w:r>
              <w:rPr>
                <w:rFonts w:hint="eastAsia" w:ascii="仿宋_GB2312" w:hAnsi="仿宋_GB2312" w:eastAsia="仿宋_GB2312" w:cs="仿宋_GB2312"/>
                <w:color w:val="000000"/>
                <w:sz w:val="24"/>
                <w:szCs w:val="24"/>
                <w:lang w:eastAsia="zh-CN"/>
              </w:rPr>
              <w:t>印发</w:t>
            </w:r>
            <w:r>
              <w:rPr>
                <w:rFonts w:hint="eastAsia" w:ascii="仿宋_GB2312" w:hAnsi="仿宋_GB2312" w:eastAsia="仿宋_GB2312" w:cs="仿宋_GB2312"/>
                <w:color w:val="000000"/>
                <w:sz w:val="24"/>
                <w:szCs w:val="24"/>
              </w:rPr>
              <w:t xml:space="preserve"> </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《赣州市中心城区既有住宅加装电梯住宅专项维修资金使用办法》　</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市住建局</w:t>
            </w:r>
            <w:r>
              <w:rPr>
                <w:rFonts w:hint="eastAsia" w:ascii="仿宋_GB2312" w:hAnsi="仿宋_GB2312" w:eastAsia="仿宋_GB2312" w:cs="仿宋_GB2312"/>
                <w:color w:val="000000"/>
                <w:sz w:val="24"/>
                <w:szCs w:val="24"/>
                <w:lang w:eastAsia="zh-CN"/>
              </w:rPr>
              <w:t>印发</w:t>
            </w:r>
          </w:p>
        </w:tc>
      </w:tr>
      <w:tr>
        <w:tblPrEx>
          <w:tblCellMar>
            <w:top w:w="0" w:type="dxa"/>
            <w:left w:w="108" w:type="dxa"/>
            <w:bottom w:w="0" w:type="dxa"/>
            <w:right w:w="108" w:type="dxa"/>
          </w:tblCellMar>
        </w:tblPrEx>
        <w:trPr>
          <w:trHeight w:val="1135"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《关于加强商品住宅专项维修资金领域失信主体信用监管的通知》</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会同市信用联办共同印发</w:t>
            </w: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《关于进一步加强我市住宅专项维修资金管理的通知》（赣市住房字〔20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29</w:t>
            </w:r>
            <w:r>
              <w:rPr>
                <w:rFonts w:hint="eastAsia" w:ascii="仿宋_GB2312" w:hAnsi="仿宋_GB2312" w:eastAsia="仿宋_GB2312" w:cs="仿宋_GB2312"/>
                <w:color w:val="000000"/>
                <w:sz w:val="24"/>
                <w:szCs w:val="24"/>
                <w:lang w:eastAsia="zh-CN"/>
              </w:rPr>
              <w:t>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关于印发我市《住宅专项维修资金管理相关业务工作指南及维修资金管理系统操作指引》的通知（〔20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eastAsia="zh-CN"/>
              </w:rPr>
              <w:t>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关于印发《赣州市中心城区住宅专项维修资金使用第三方服务机构名录库管理办法（试行）》的通知（赣市住房字〔20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62</w:t>
            </w:r>
            <w:r>
              <w:rPr>
                <w:rFonts w:hint="eastAsia" w:ascii="仿宋_GB2312" w:hAnsi="仿宋_GB2312" w:eastAsia="仿宋_GB2312" w:cs="仿宋_GB2312"/>
                <w:color w:val="000000"/>
                <w:sz w:val="24"/>
                <w:szCs w:val="24"/>
                <w:lang w:eastAsia="zh-CN"/>
              </w:rPr>
              <w:t>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4"/>
                <w:szCs w:val="24"/>
                <w:lang w:val="en-US" w:eastAsia="zh-CN"/>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《关于印发《赣州市物业管理专家库管理办法》的通知》（赣市住房文〔2022〕9号）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《关于印发&lt;赣州市住宅小区物业管理考核评价实施细则&gt;的通知》(赣市住房字〔2022〕19号)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283" w:hRule="atLeast"/>
          <w:jc w:val="center"/>
        </w:trPr>
        <w:tc>
          <w:tcPr>
            <w:tcW w:w="1883" w:type="dxa"/>
            <w:vMerge w:val="continue"/>
            <w:tcBorders>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p>
        </w:tc>
        <w:tc>
          <w:tcPr>
            <w:tcW w:w="615"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5820"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关于印发《赣州市房屋白蚁防治单位名录信用管理办法（试行）的通知》（赣市住房文〔2022〕8号）</w:t>
            </w:r>
          </w:p>
        </w:tc>
        <w:tc>
          <w:tcPr>
            <w:tcW w:w="1282"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4"/>
              </w:rPr>
            </w:pPr>
          </w:p>
        </w:tc>
      </w:tr>
      <w:tr>
        <w:tblPrEx>
          <w:tblCellMar>
            <w:top w:w="0" w:type="dxa"/>
            <w:left w:w="108" w:type="dxa"/>
            <w:bottom w:w="0" w:type="dxa"/>
            <w:right w:w="108" w:type="dxa"/>
          </w:tblCellMar>
        </w:tblPrEx>
        <w:trPr>
          <w:trHeight w:val="867" w:hRule="atLeast"/>
          <w:jc w:val="center"/>
        </w:trPr>
        <w:tc>
          <w:tcPr>
            <w:tcW w:w="9600" w:type="dxa"/>
            <w:gridSpan w:val="4"/>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cs="黑体"/>
                <w:color w:val="000000"/>
                <w:sz w:val="24"/>
              </w:rPr>
            </w:pPr>
            <w:r>
              <w:rPr>
                <w:rFonts w:hint="eastAsia" w:ascii="黑体" w:hAnsi="黑体" w:eastAsia="黑体" w:cs="黑体"/>
                <w:color w:val="000000"/>
                <w:sz w:val="24"/>
              </w:rPr>
              <w:t xml:space="preserve">其他需要说明的情况 </w:t>
            </w:r>
          </w:p>
        </w:tc>
      </w:tr>
    </w:tbl>
    <w:p>
      <w:pPr>
        <w:spacing w:line="500" w:lineRule="exact"/>
        <w:jc w:val="left"/>
      </w:pPr>
      <w:r>
        <w:rPr>
          <w:rFonts w:hint="eastAsia" w:ascii="黑体" w:hAnsi="黑体" w:eastAsia="黑体" w:cs="黑体"/>
          <w:color w:val="000000"/>
          <w:sz w:val="24"/>
          <w:lang w:eastAsia="zh-CN"/>
        </w:rPr>
        <w:t>注：需要逐项列明每一件行政规范性文件的</w:t>
      </w:r>
      <w:r>
        <w:rPr>
          <w:rFonts w:hint="eastAsia" w:ascii="黑体" w:hAnsi="黑体" w:eastAsia="黑体" w:cs="黑体"/>
          <w:color w:val="000000"/>
          <w:sz w:val="24"/>
          <w:lang w:val="en-US" w:eastAsia="zh-CN"/>
        </w:rPr>
        <w:t>具体名称及文号。</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ook Antiqua">
    <w:altName w:val="Noto Sans Syriac Eastern"/>
    <w:panose1 w:val="02040602050305030304"/>
    <w:charset w:val="00"/>
    <w:family w:val="roman"/>
    <w:pitch w:val="default"/>
    <w:sig w:usb0="00000000" w:usb1="00000000" w:usb2="00000000" w:usb3="00000000" w:csb0="2000009F" w:csb1="DFD7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kzOWM3Y2Y0NzM3ZDY5Y2M0MTVjOTgyODhkY2EifQ=="/>
  </w:docVars>
  <w:rsids>
    <w:rsidRoot w:val="7B9C0A06"/>
    <w:rsid w:val="02EE3971"/>
    <w:rsid w:val="06EE4011"/>
    <w:rsid w:val="09DB9D2D"/>
    <w:rsid w:val="09FF1D17"/>
    <w:rsid w:val="1755EBE5"/>
    <w:rsid w:val="17EE2D17"/>
    <w:rsid w:val="1C77E594"/>
    <w:rsid w:val="1E8F9C2F"/>
    <w:rsid w:val="1EDF120D"/>
    <w:rsid w:val="1EEA9F61"/>
    <w:rsid w:val="1FEE63E7"/>
    <w:rsid w:val="1FFD8FDB"/>
    <w:rsid w:val="24340A6D"/>
    <w:rsid w:val="26FA8B61"/>
    <w:rsid w:val="29DB3ED5"/>
    <w:rsid w:val="2BEBFDE1"/>
    <w:rsid w:val="2FBD1543"/>
    <w:rsid w:val="2FF6807B"/>
    <w:rsid w:val="318ED684"/>
    <w:rsid w:val="32F7E2A4"/>
    <w:rsid w:val="33DF2201"/>
    <w:rsid w:val="33F7F10A"/>
    <w:rsid w:val="367A6143"/>
    <w:rsid w:val="37529265"/>
    <w:rsid w:val="3777DB39"/>
    <w:rsid w:val="379D4DFF"/>
    <w:rsid w:val="37D1D72B"/>
    <w:rsid w:val="37F9F110"/>
    <w:rsid w:val="3B5F2088"/>
    <w:rsid w:val="3B9EC27C"/>
    <w:rsid w:val="3BD90501"/>
    <w:rsid w:val="3BEF666A"/>
    <w:rsid w:val="3D1D8EB4"/>
    <w:rsid w:val="3D531EC3"/>
    <w:rsid w:val="3D73DD13"/>
    <w:rsid w:val="3DBF92F1"/>
    <w:rsid w:val="3EF523DA"/>
    <w:rsid w:val="3F7F2210"/>
    <w:rsid w:val="3F7F741B"/>
    <w:rsid w:val="4CD99214"/>
    <w:rsid w:val="53EE8FCF"/>
    <w:rsid w:val="579FC1A9"/>
    <w:rsid w:val="57BEAE45"/>
    <w:rsid w:val="57FCB3E6"/>
    <w:rsid w:val="5A97886A"/>
    <w:rsid w:val="5CF732E0"/>
    <w:rsid w:val="5D5BE957"/>
    <w:rsid w:val="5D69D48F"/>
    <w:rsid w:val="5DFDE7DB"/>
    <w:rsid w:val="5DFE7729"/>
    <w:rsid w:val="5EBF2D8E"/>
    <w:rsid w:val="5EDCB7C5"/>
    <w:rsid w:val="5EEBDB3A"/>
    <w:rsid w:val="5EEEF3A6"/>
    <w:rsid w:val="5EF9C6A4"/>
    <w:rsid w:val="5EFFAA64"/>
    <w:rsid w:val="5F5FB6FB"/>
    <w:rsid w:val="5FB8E719"/>
    <w:rsid w:val="5FBFB923"/>
    <w:rsid w:val="5FCF51E2"/>
    <w:rsid w:val="5FDF031F"/>
    <w:rsid w:val="5FFB5B7A"/>
    <w:rsid w:val="5FFF355C"/>
    <w:rsid w:val="5FFF8F86"/>
    <w:rsid w:val="636D03FA"/>
    <w:rsid w:val="64F93356"/>
    <w:rsid w:val="67FEAC30"/>
    <w:rsid w:val="6BD9BB10"/>
    <w:rsid w:val="6CD39151"/>
    <w:rsid w:val="6ECAC2FE"/>
    <w:rsid w:val="6EFF092F"/>
    <w:rsid w:val="6F3D2A4D"/>
    <w:rsid w:val="6F776E1B"/>
    <w:rsid w:val="6FB78D92"/>
    <w:rsid w:val="6FCF2C1D"/>
    <w:rsid w:val="6FD96F63"/>
    <w:rsid w:val="6FFF1424"/>
    <w:rsid w:val="70CE5E50"/>
    <w:rsid w:val="71B41DCE"/>
    <w:rsid w:val="72357729"/>
    <w:rsid w:val="72F7260B"/>
    <w:rsid w:val="736BADC2"/>
    <w:rsid w:val="737584FE"/>
    <w:rsid w:val="7379B7B1"/>
    <w:rsid w:val="73BF740B"/>
    <w:rsid w:val="73FFED29"/>
    <w:rsid w:val="74FDB4A0"/>
    <w:rsid w:val="75EDB7FD"/>
    <w:rsid w:val="7677FC96"/>
    <w:rsid w:val="76CFCF32"/>
    <w:rsid w:val="76F3AD43"/>
    <w:rsid w:val="779D6DA8"/>
    <w:rsid w:val="77CFD350"/>
    <w:rsid w:val="77DFA8E6"/>
    <w:rsid w:val="77DFBC9F"/>
    <w:rsid w:val="77DFBDDE"/>
    <w:rsid w:val="77F7A847"/>
    <w:rsid w:val="77FA9E70"/>
    <w:rsid w:val="77FF46C3"/>
    <w:rsid w:val="77FF9E0D"/>
    <w:rsid w:val="78FF629D"/>
    <w:rsid w:val="792E61EF"/>
    <w:rsid w:val="797407B7"/>
    <w:rsid w:val="79C92F1C"/>
    <w:rsid w:val="79DF8D93"/>
    <w:rsid w:val="7A6FF8FA"/>
    <w:rsid w:val="7A9F3603"/>
    <w:rsid w:val="7ADFECA9"/>
    <w:rsid w:val="7AEF123E"/>
    <w:rsid w:val="7AFFAE03"/>
    <w:rsid w:val="7B5ACA7F"/>
    <w:rsid w:val="7B831E37"/>
    <w:rsid w:val="7B9C0A06"/>
    <w:rsid w:val="7BE764BE"/>
    <w:rsid w:val="7CBD8B8D"/>
    <w:rsid w:val="7CFFA986"/>
    <w:rsid w:val="7D7D64F0"/>
    <w:rsid w:val="7D9BF97F"/>
    <w:rsid w:val="7DB68050"/>
    <w:rsid w:val="7DF7CE5F"/>
    <w:rsid w:val="7DFC528D"/>
    <w:rsid w:val="7DFF9A5F"/>
    <w:rsid w:val="7DFFAA8E"/>
    <w:rsid w:val="7E57BD59"/>
    <w:rsid w:val="7E7E55CE"/>
    <w:rsid w:val="7E7E5F3F"/>
    <w:rsid w:val="7E7F4B78"/>
    <w:rsid w:val="7ECF6B3C"/>
    <w:rsid w:val="7EF54FFF"/>
    <w:rsid w:val="7F358444"/>
    <w:rsid w:val="7F4F5D61"/>
    <w:rsid w:val="7F5FCCF9"/>
    <w:rsid w:val="7F6E2042"/>
    <w:rsid w:val="7F739312"/>
    <w:rsid w:val="7F7710E2"/>
    <w:rsid w:val="7F91B981"/>
    <w:rsid w:val="7FA117BB"/>
    <w:rsid w:val="7FBB4F39"/>
    <w:rsid w:val="7FBD6604"/>
    <w:rsid w:val="7FBE5533"/>
    <w:rsid w:val="7FBE96D5"/>
    <w:rsid w:val="7FBFC333"/>
    <w:rsid w:val="7FC71FE8"/>
    <w:rsid w:val="7FDDAE44"/>
    <w:rsid w:val="7FDF163C"/>
    <w:rsid w:val="7FE76E69"/>
    <w:rsid w:val="7FED12C0"/>
    <w:rsid w:val="7FEF19F3"/>
    <w:rsid w:val="7FEFE540"/>
    <w:rsid w:val="7FF56C81"/>
    <w:rsid w:val="7FF72841"/>
    <w:rsid w:val="7FFC4C38"/>
    <w:rsid w:val="7FFEA074"/>
    <w:rsid w:val="7FFF2637"/>
    <w:rsid w:val="7FFF7EA6"/>
    <w:rsid w:val="86AA94F8"/>
    <w:rsid w:val="8A1FF360"/>
    <w:rsid w:val="8CF4910E"/>
    <w:rsid w:val="997A929B"/>
    <w:rsid w:val="9AB59919"/>
    <w:rsid w:val="9CBF27C1"/>
    <w:rsid w:val="9D20AF6D"/>
    <w:rsid w:val="9EEAD487"/>
    <w:rsid w:val="9F37E5D9"/>
    <w:rsid w:val="9F7DA023"/>
    <w:rsid w:val="9FE320C1"/>
    <w:rsid w:val="9FFFA080"/>
    <w:rsid w:val="AB5F2750"/>
    <w:rsid w:val="ADFD43C2"/>
    <w:rsid w:val="AEEF5C6A"/>
    <w:rsid w:val="AEF62280"/>
    <w:rsid w:val="AFED2CA9"/>
    <w:rsid w:val="AFEF7729"/>
    <w:rsid w:val="B117C076"/>
    <w:rsid w:val="B1A921CC"/>
    <w:rsid w:val="B1FDAEF1"/>
    <w:rsid w:val="B35F9E56"/>
    <w:rsid w:val="B53A47AA"/>
    <w:rsid w:val="B6FBEB18"/>
    <w:rsid w:val="B7F7D238"/>
    <w:rsid w:val="BA9F066E"/>
    <w:rsid w:val="BAD8360C"/>
    <w:rsid w:val="BCD3D7FB"/>
    <w:rsid w:val="BD5A4DCB"/>
    <w:rsid w:val="BEA78832"/>
    <w:rsid w:val="BEBFAC06"/>
    <w:rsid w:val="BFFA9A83"/>
    <w:rsid w:val="BFFC21F6"/>
    <w:rsid w:val="BFFF0D04"/>
    <w:rsid w:val="BFFF1178"/>
    <w:rsid w:val="C5E39F44"/>
    <w:rsid w:val="C7F7AE8E"/>
    <w:rsid w:val="C9C6BE8C"/>
    <w:rsid w:val="C9E7A300"/>
    <w:rsid w:val="CB4D51DE"/>
    <w:rsid w:val="CEFDE739"/>
    <w:rsid w:val="D1FE151A"/>
    <w:rsid w:val="D3ECBF31"/>
    <w:rsid w:val="D4F71ED2"/>
    <w:rsid w:val="D67D3C14"/>
    <w:rsid w:val="D6F9AADD"/>
    <w:rsid w:val="D7B38A7B"/>
    <w:rsid w:val="D7BEC101"/>
    <w:rsid w:val="D9ABA121"/>
    <w:rsid w:val="DC7BC2F3"/>
    <w:rsid w:val="DDA712F3"/>
    <w:rsid w:val="DDDB19DE"/>
    <w:rsid w:val="DDDD488F"/>
    <w:rsid w:val="DEE5B8E9"/>
    <w:rsid w:val="DF3DAE45"/>
    <w:rsid w:val="DF3DDFF2"/>
    <w:rsid w:val="DFCC1EE8"/>
    <w:rsid w:val="DFD780C6"/>
    <w:rsid w:val="DFFF2226"/>
    <w:rsid w:val="E1CFC2A2"/>
    <w:rsid w:val="E5AB714A"/>
    <w:rsid w:val="E5FF99F2"/>
    <w:rsid w:val="E6FDAB58"/>
    <w:rsid w:val="E8FA6E03"/>
    <w:rsid w:val="E9E5518E"/>
    <w:rsid w:val="EBFFDD3D"/>
    <w:rsid w:val="ECFF7EBF"/>
    <w:rsid w:val="ED776CF3"/>
    <w:rsid w:val="EDDB1F3C"/>
    <w:rsid w:val="EDEB7BE2"/>
    <w:rsid w:val="EEE96752"/>
    <w:rsid w:val="EF7FC90F"/>
    <w:rsid w:val="EFB7E83A"/>
    <w:rsid w:val="EFB8B2D0"/>
    <w:rsid w:val="EFCF29CD"/>
    <w:rsid w:val="EFDEADB9"/>
    <w:rsid w:val="EFDF9DE5"/>
    <w:rsid w:val="EFFE73CA"/>
    <w:rsid w:val="F0AE42D0"/>
    <w:rsid w:val="F1FF9A32"/>
    <w:rsid w:val="F2EF4DE2"/>
    <w:rsid w:val="F3BF43D5"/>
    <w:rsid w:val="F3C6C135"/>
    <w:rsid w:val="F4D344F5"/>
    <w:rsid w:val="F5FFCDF3"/>
    <w:rsid w:val="F6BF9953"/>
    <w:rsid w:val="F6BFFE92"/>
    <w:rsid w:val="F6EF331C"/>
    <w:rsid w:val="F73AB82D"/>
    <w:rsid w:val="F75F14A9"/>
    <w:rsid w:val="F77439D8"/>
    <w:rsid w:val="F7BD7FE5"/>
    <w:rsid w:val="F7BFF9A9"/>
    <w:rsid w:val="F7CF3D7C"/>
    <w:rsid w:val="F7DBDEB5"/>
    <w:rsid w:val="F7FFA3AC"/>
    <w:rsid w:val="F7FFC5C6"/>
    <w:rsid w:val="F8FB17B4"/>
    <w:rsid w:val="F9FF7684"/>
    <w:rsid w:val="FABF51FF"/>
    <w:rsid w:val="FABF7750"/>
    <w:rsid w:val="FB7B6114"/>
    <w:rsid w:val="FBBFD6A9"/>
    <w:rsid w:val="FBDA75C5"/>
    <w:rsid w:val="FBFD091F"/>
    <w:rsid w:val="FBFFA53C"/>
    <w:rsid w:val="FCBF8867"/>
    <w:rsid w:val="FCFF7F3E"/>
    <w:rsid w:val="FD7B1053"/>
    <w:rsid w:val="FD7F3160"/>
    <w:rsid w:val="FDDFFD5B"/>
    <w:rsid w:val="FDFEB6BA"/>
    <w:rsid w:val="FE73CF73"/>
    <w:rsid w:val="FE7F6716"/>
    <w:rsid w:val="FE978D22"/>
    <w:rsid w:val="FECEF4A1"/>
    <w:rsid w:val="FEF6B6F8"/>
    <w:rsid w:val="FEFFD1BE"/>
    <w:rsid w:val="FF2B5357"/>
    <w:rsid w:val="FF3E600A"/>
    <w:rsid w:val="FF3EB9E6"/>
    <w:rsid w:val="FF51E4B0"/>
    <w:rsid w:val="FF5B8003"/>
    <w:rsid w:val="FF5FAD0F"/>
    <w:rsid w:val="FF74C39D"/>
    <w:rsid w:val="FF7FAFB2"/>
    <w:rsid w:val="FF9AB3D0"/>
    <w:rsid w:val="FFAFE5CD"/>
    <w:rsid w:val="FFBBC1A5"/>
    <w:rsid w:val="FFBE2A73"/>
    <w:rsid w:val="FFC74DB0"/>
    <w:rsid w:val="FFCCABE0"/>
    <w:rsid w:val="FFCD8FF5"/>
    <w:rsid w:val="FFCE1770"/>
    <w:rsid w:val="FFD76F6F"/>
    <w:rsid w:val="FFD7C1D6"/>
    <w:rsid w:val="FFDA2E93"/>
    <w:rsid w:val="FFDEA8D5"/>
    <w:rsid w:val="FFDF3C04"/>
    <w:rsid w:val="FFE7B601"/>
    <w:rsid w:val="FFEF075D"/>
    <w:rsid w:val="FFF3204F"/>
    <w:rsid w:val="FFF39E33"/>
    <w:rsid w:val="FFF75A73"/>
    <w:rsid w:val="FFFD2570"/>
    <w:rsid w:val="FFFDB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pacing w:before="100" w:beforeAutospacing="1" w:after="100" w:afterAutospacing="1"/>
      <w:jc w:val="left"/>
      <w:outlineLvl w:val="3"/>
    </w:pPr>
    <w:rPr>
      <w:rFonts w:hint="eastAsia" w:ascii="宋体" w:hAnsi="宋体"/>
      <w:b/>
      <w:bCs/>
      <w:kern w:val="0"/>
      <w:sz w:val="24"/>
      <w:szCs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sz w:val="28"/>
      <w:szCs w:val="28"/>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Indent"/>
    <w:basedOn w:val="1"/>
    <w:qFormat/>
    <w:uiPriority w:val="0"/>
    <w:pPr>
      <w:spacing w:line="560" w:lineRule="exact"/>
      <w:ind w:firstLine="630"/>
    </w:pPr>
    <w:rPr>
      <w:rFonts w:ascii="仿宋_GB2312" w:hAnsi="Book Antiqua" w:eastAsia="仿宋_GB2312"/>
      <w:sz w:val="30"/>
    </w:rPr>
  </w:style>
  <w:style w:type="paragraph" w:styleId="10">
    <w:name w:val="toc 5"/>
    <w:basedOn w:val="1"/>
    <w:next w:val="1"/>
    <w:qFormat/>
    <w:uiPriority w:val="0"/>
    <w:pPr>
      <w:ind w:left="1680" w:leftChars="800"/>
    </w:pPr>
    <w:rPr>
      <w:szCs w:val="21"/>
    </w:rPr>
  </w:style>
  <w:style w:type="paragraph" w:styleId="11">
    <w:name w:val="Plain Text"/>
    <w:basedOn w:val="1"/>
    <w:next w:val="12"/>
    <w:qFormat/>
    <w:uiPriority w:val="0"/>
    <w:pPr>
      <w:widowControl/>
      <w:spacing w:before="100" w:beforeAutospacing="1" w:after="100" w:afterAutospacing="1"/>
      <w:jc w:val="left"/>
    </w:pPr>
    <w:rPr>
      <w:rFonts w:ascii="宋体" w:hAnsi="宋体" w:cs="宋体"/>
      <w:kern w:val="0"/>
      <w:sz w:val="24"/>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toc 2"/>
    <w:basedOn w:val="1"/>
    <w:next w:val="1"/>
    <w:unhideWhenUsed/>
    <w:qFormat/>
    <w:uiPriority w:val="39"/>
    <w:pPr>
      <w:widowControl/>
      <w:spacing w:after="100" w:line="276" w:lineRule="auto"/>
      <w:ind w:left="220"/>
      <w:jc w:val="left"/>
    </w:pPr>
    <w:rPr>
      <w:kern w:val="0"/>
      <w:sz w:val="22"/>
    </w:rPr>
  </w:style>
  <w:style w:type="paragraph" w:styleId="18">
    <w:name w:val="HTML Preformatted"/>
    <w:basedOn w:val="1"/>
    <w:qFormat/>
    <w:uiPriority w:val="0"/>
    <w:pPr>
      <w:jc w:val="left"/>
    </w:pPr>
    <w:rPr>
      <w:rFonts w:ascii="宋体" w:hAnsi="宋体"/>
      <w:kern w:val="0"/>
      <w:sz w:val="24"/>
    </w:rPr>
  </w:style>
  <w:style w:type="paragraph" w:styleId="19">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ascii="Times New Roman" w:hAnsi="Times New Roman" w:eastAsia="宋体" w:cs="Times New Roman"/>
      <w:b/>
      <w:lang w:val="en-US" w:eastAsia="zh-CN" w:bidi="ar-SA"/>
    </w:rPr>
  </w:style>
  <w:style w:type="character" w:styleId="25">
    <w:name w:val="page number"/>
    <w:basedOn w:val="23"/>
    <w:qFormat/>
    <w:uiPriority w:val="0"/>
    <w:rPr>
      <w:rFonts w:ascii="Times New Roman" w:hAnsi="Times New Roman" w:eastAsia="宋体" w:cs="Times New Roman"/>
      <w:lang w:val="en-US" w:eastAsia="zh-CN" w:bidi="ar-SA"/>
    </w:rPr>
  </w:style>
  <w:style w:type="character" w:styleId="26">
    <w:name w:val="Emphasis"/>
    <w:basedOn w:val="23"/>
    <w:qFormat/>
    <w:uiPriority w:val="0"/>
    <w:rPr>
      <w:rFonts w:ascii="Times New Roman" w:hAnsi="Times New Roman" w:eastAsia="宋体" w:cs="Times New Roman"/>
      <w:color w:val="CC0000"/>
      <w:lang w:val="en-US" w:eastAsia="zh-CN" w:bidi="ar-SA"/>
    </w:rPr>
  </w:style>
  <w:style w:type="character" w:styleId="27">
    <w:name w:val="Hyperlink"/>
    <w:basedOn w:val="23"/>
    <w:qFormat/>
    <w:uiPriority w:val="99"/>
    <w:rPr>
      <w:rFonts w:ascii="Times New Roman" w:hAnsi="Times New Roman" w:eastAsia="宋体" w:cs="Times New Roman"/>
      <w:color w:val="0000FF"/>
      <w:u w:val="single"/>
      <w:lang w:val="en-US" w:eastAsia="zh-CN" w:bidi="ar-SA"/>
    </w:rPr>
  </w:style>
  <w:style w:type="paragraph" w:customStyle="1" w:styleId="28">
    <w:name w:val="纯文本1"/>
    <w:basedOn w:val="1"/>
    <w:qFormat/>
    <w:uiPriority w:val="0"/>
    <w:rPr>
      <w:rFonts w:hAnsi="Courier New" w:cs="Courier New"/>
      <w:szCs w:val="21"/>
    </w:rPr>
  </w:style>
  <w:style w:type="paragraph" w:customStyle="1" w:styleId="29">
    <w:name w:val="BodyText"/>
    <w:basedOn w:val="1"/>
    <w:qFormat/>
    <w:uiPriority w:val="0"/>
    <w:pPr>
      <w:spacing w:after="120"/>
      <w:textAlignment w:val="baseline"/>
    </w:pPr>
  </w:style>
  <w:style w:type="character" w:customStyle="1" w:styleId="30">
    <w:name w:val="NormalCharacter"/>
    <w:semiHidden/>
    <w:qFormat/>
    <w:uiPriority w:val="0"/>
    <w:rPr>
      <w:rFonts w:ascii="Times New Roman" w:hAnsi="Times New Roman" w:eastAsia="宋体" w:cs="Times New Roman"/>
      <w:lang w:val="en-US" w:eastAsia="zh-CN" w:bidi="ar-SA"/>
    </w:rPr>
  </w:style>
  <w:style w:type="character" w:customStyle="1" w:styleId="31">
    <w:name w:val="apple-style-span"/>
    <w:basedOn w:val="23"/>
    <w:qFormat/>
    <w:uiPriority w:val="0"/>
    <w:rPr>
      <w:rFonts w:ascii="Times New Roman" w:hAnsi="Times New Roman" w:eastAsia="宋体" w:cs="Times New Roman"/>
      <w:lang w:val="en-US" w:eastAsia="zh-CN" w:bidi="ar-SA"/>
    </w:rPr>
  </w:style>
  <w:style w:type="character" w:customStyle="1" w:styleId="32">
    <w:name w:val="15"/>
    <w:basedOn w:val="23"/>
    <w:qFormat/>
    <w:uiPriority w:val="99"/>
    <w:rPr>
      <w:rFonts w:ascii="Times New Roman" w:hAnsi="Times New Roman" w:eastAsia="宋体" w:cs="Times New Roman"/>
      <w:color w:val="0000FF"/>
      <w:u w:val="single"/>
      <w:lang w:val="en-US" w:eastAsia="zh-CN" w:bidi="ar-SA"/>
    </w:rPr>
  </w:style>
  <w:style w:type="paragraph" w:customStyle="1" w:styleId="33">
    <w:name w:val="Char1"/>
    <w:basedOn w:val="1"/>
    <w:qFormat/>
    <w:uiPriority w:val="0"/>
    <w:pPr>
      <w:widowControl/>
      <w:spacing w:after="160" w:line="240" w:lineRule="exact"/>
      <w:jc w:val="left"/>
    </w:pPr>
  </w:style>
  <w:style w:type="paragraph" w:styleId="34">
    <w:name w:val="List Paragraph"/>
    <w:basedOn w:val="1"/>
    <w:qFormat/>
    <w:uiPriority w:val="99"/>
    <w:pPr>
      <w:ind w:firstLine="420" w:firstLineChars="200"/>
    </w:pPr>
  </w:style>
  <w:style w:type="paragraph" w:customStyle="1" w:styleId="35">
    <w:name w:val="p15"/>
    <w:basedOn w:val="1"/>
    <w:qFormat/>
    <w:uiPriority w:val="0"/>
    <w:pPr>
      <w:widowControl/>
    </w:pPr>
    <w:rPr>
      <w:rFonts w:ascii="仿宋_GB2312" w:hAnsi="宋体" w:eastAsia="仿宋_GB2312" w:cs="宋体"/>
      <w:kern w:val="0"/>
      <w:sz w:val="32"/>
      <w:szCs w:val="32"/>
    </w:rPr>
  </w:style>
  <w:style w:type="paragraph" w:customStyle="1" w:styleId="36">
    <w:name w:val="标准文字"/>
    <w:basedOn w:val="1"/>
    <w:qFormat/>
    <w:uiPriority w:val="0"/>
    <w:pPr>
      <w:overflowPunct w:val="0"/>
      <w:spacing w:line="360" w:lineRule="auto"/>
      <w:ind w:firstLine="600" w:firstLineChars="200"/>
    </w:pPr>
    <w:rPr>
      <w:rFonts w:eastAsia="仿宋_GB2312"/>
      <w:kern w:val="0"/>
      <w:sz w:val="30"/>
    </w:rPr>
  </w:style>
  <w:style w:type="paragraph" w:customStyle="1" w:styleId="37">
    <w:name w:val="Char"/>
    <w:basedOn w:val="1"/>
    <w:qFormat/>
    <w:uiPriority w:val="0"/>
    <w:pPr>
      <w:tabs>
        <w:tab w:val="left" w:pos="1350"/>
      </w:tabs>
      <w:ind w:left="1350" w:hanging="720"/>
    </w:pPr>
  </w:style>
  <w:style w:type="paragraph" w:customStyle="1" w:styleId="38">
    <w:name w:val="Char Char Char Char Char Char Char"/>
    <w:basedOn w:val="1"/>
    <w:qFormat/>
    <w:uiPriority w:val="0"/>
    <w:rPr>
      <w:szCs w:val="24"/>
    </w:rPr>
  </w:style>
  <w:style w:type="paragraph" w:customStyle="1" w:styleId="39">
    <w:name w:val="Index5"/>
    <w:basedOn w:val="1"/>
    <w:next w:val="1"/>
    <w:qFormat/>
    <w:uiPriority w:val="0"/>
    <w:pPr>
      <w:ind w:left="1680"/>
      <w:textAlignment w:val="baseline"/>
    </w:pPr>
  </w:style>
  <w:style w:type="paragraph" w:customStyle="1" w:styleId="40">
    <w:name w:val="无间隔1"/>
    <w:basedOn w:val="1"/>
    <w:qFormat/>
    <w:uiPriority w:val="1"/>
    <w:pPr>
      <w:adjustRightInd w:val="0"/>
      <w:snapToGrid w:val="0"/>
    </w:pPr>
    <w:rPr>
      <w:rFonts w:ascii="Tahoma" w:hAnsi="Tahoma" w:eastAsia="微软雅黑" w:cs="黑体"/>
      <w:sz w:val="22"/>
      <w:szCs w:val="22"/>
    </w:rPr>
  </w:style>
  <w:style w:type="paragraph" w:customStyle="1" w:styleId="41">
    <w:name w:val="PlainText"/>
    <w:basedOn w:val="1"/>
    <w:qFormat/>
    <w:uiPriority w:val="0"/>
    <w:pPr>
      <w:spacing w:line="576" w:lineRule="exact"/>
      <w:textAlignment w:val="baseline"/>
    </w:pPr>
    <w:rPr>
      <w:rFonts w:ascii="宋体" w:hAnsi="Courier New" w:eastAsia="Times New Roman"/>
      <w:szCs w:val="24"/>
    </w:rPr>
  </w:style>
  <w:style w:type="paragraph" w:customStyle="1" w:styleId="42">
    <w:name w:val="列出段落1"/>
    <w:basedOn w:val="1"/>
    <w:qFormat/>
    <w:uiPriority w:val="0"/>
    <w:pPr>
      <w:ind w:firstLine="420" w:firstLineChars="200"/>
    </w:pPr>
    <w:rPr>
      <w:rFonts w:hint="eastAsia"/>
    </w:rPr>
  </w:style>
  <w:style w:type="paragraph" w:customStyle="1" w:styleId="43">
    <w:name w:val="石墨文档正文"/>
    <w:qFormat/>
    <w:uiPriority w:val="0"/>
    <w:rPr>
      <w:rFonts w:ascii="微软雅黑" w:hAnsi="微软雅黑" w:eastAsia="微软雅黑" w:cs="微软雅黑"/>
      <w:sz w:val="22"/>
      <w:szCs w:val="22"/>
      <w:lang w:val="en-US" w:eastAsia="zh-CN" w:bidi="ar-SA"/>
    </w:rPr>
  </w:style>
  <w:style w:type="paragraph" w:customStyle="1" w:styleId="44">
    <w:name w:val="Table Paragraph"/>
    <w:basedOn w:val="1"/>
    <w:qFormat/>
    <w:uiPriority w:val="1"/>
    <w:rPr>
      <w:rFonts w:ascii="仿宋" w:hAnsi="仿宋" w:eastAsia="仿宋" w:cs="仿宋"/>
      <w:lang w:val="zh-CN" w:bidi="zh-CN"/>
    </w:rPr>
  </w:style>
  <w:style w:type="character" w:customStyle="1" w:styleId="45">
    <w:name w:val="font31"/>
    <w:basedOn w:val="23"/>
    <w:qFormat/>
    <w:uiPriority w:val="0"/>
    <w:rPr>
      <w:rFonts w:hint="eastAsia" w:ascii="宋体" w:hAnsi="宋体" w:eastAsia="宋体" w:cs="宋体"/>
      <w:b/>
      <w:color w:val="000000"/>
      <w:sz w:val="24"/>
      <w:szCs w:val="24"/>
      <w:u w:val="none"/>
      <w:lang w:val="en-US" w:eastAsia="zh-CN" w:bidi="ar-SA"/>
    </w:rPr>
  </w:style>
  <w:style w:type="paragraph" w:customStyle="1" w:styleId="46">
    <w:name w:val="Heading #2|1"/>
    <w:basedOn w:val="1"/>
    <w:qFormat/>
    <w:uiPriority w:val="0"/>
    <w:pPr>
      <w:spacing w:after="480" w:line="610" w:lineRule="exact"/>
      <w:jc w:val="center"/>
      <w:outlineLvl w:val="1"/>
    </w:pPr>
    <w:rPr>
      <w:rFonts w:ascii="宋体" w:hAnsi="宋体" w:cs="宋体"/>
      <w:sz w:val="40"/>
      <w:szCs w:val="40"/>
      <w:lang w:val="zh-TW" w:eastAsia="zh-TW" w:bidi="zh-TW"/>
    </w:rPr>
  </w:style>
  <w:style w:type="paragraph" w:customStyle="1" w:styleId="47">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48">
    <w:name w:val="正文文本缩进 31"/>
    <w:basedOn w:val="1"/>
    <w:qFormat/>
    <w:uiPriority w:val="0"/>
    <w:pPr>
      <w:spacing w:before="100" w:beforeAutospacing="1" w:after="100" w:afterAutospacing="1"/>
      <w:ind w:left="200" w:leftChars="200"/>
    </w:pPr>
    <w:rPr>
      <w:rFonts w:eastAsia="仿宋"/>
      <w:sz w:val="16"/>
      <w:szCs w:val="16"/>
    </w:rPr>
  </w:style>
  <w:style w:type="character" w:customStyle="1" w:styleId="49">
    <w:name w:val="16"/>
    <w:basedOn w:val="23"/>
    <w:qFormat/>
    <w:uiPriority w:val="0"/>
    <w:rPr>
      <w:rFonts w:hint="default" w:ascii="Arial" w:hAnsi="Arial" w:eastAsia="楷体" w:cs="Arial"/>
      <w:b/>
      <w:bCs/>
      <w:sz w:val="32"/>
      <w:szCs w:val="32"/>
      <w:lang w:val="en-US" w:eastAsia="zh-CN" w:bidi="ar-SA"/>
    </w:rPr>
  </w:style>
  <w:style w:type="paragraph" w:customStyle="1" w:styleId="50">
    <w:name w:val="列出段落2"/>
    <w:basedOn w:val="1"/>
    <w:qFormat/>
    <w:uiPriority w:val="0"/>
    <w:pPr>
      <w:ind w:firstLine="420" w:firstLineChars="200"/>
    </w:pPr>
    <w:rPr>
      <w:rFonts w:ascii="Calibri" w:hAnsi="Calibri"/>
    </w:rPr>
  </w:style>
  <w:style w:type="paragraph" w:customStyle="1" w:styleId="51">
    <w:name w:val="自定义正文"/>
    <w:basedOn w:val="1"/>
    <w:qFormat/>
    <w:uiPriority w:val="0"/>
    <w:pPr>
      <w:spacing w:line="360" w:lineRule="auto"/>
      <w:ind w:firstLine="200" w:firstLineChars="200"/>
    </w:pPr>
    <w:rPr>
      <w:rFonts w:eastAsia="仿宋_GB2312"/>
      <w:sz w:val="32"/>
      <w:szCs w:val="32"/>
    </w:rPr>
  </w:style>
  <w:style w:type="character" w:customStyle="1" w:styleId="52">
    <w:name w:val="font71"/>
    <w:basedOn w:val="23"/>
    <w:qFormat/>
    <w:uiPriority w:val="0"/>
    <w:rPr>
      <w:rFonts w:hint="default" w:ascii="仿宋" w:hAnsi="仿宋" w:eastAsia="仿宋" w:cs="仿宋"/>
      <w:color w:val="000000"/>
      <w:sz w:val="22"/>
      <w:szCs w:val="22"/>
      <w:u w:val="none"/>
    </w:rPr>
  </w:style>
  <w:style w:type="character" w:customStyle="1" w:styleId="53">
    <w:name w:val="font112"/>
    <w:basedOn w:val="23"/>
    <w:qFormat/>
    <w:uiPriority w:val="0"/>
    <w:rPr>
      <w:rFonts w:hint="default" w:ascii="仿宋" w:hAnsi="仿宋" w:eastAsia="仿宋" w:cs="仿宋"/>
      <w:color w:val="000000"/>
      <w:sz w:val="20"/>
      <w:szCs w:val="20"/>
      <w:u w:val="none"/>
    </w:rPr>
  </w:style>
  <w:style w:type="character" w:customStyle="1" w:styleId="54">
    <w:name w:val="font01"/>
    <w:basedOn w:val="23"/>
    <w:qFormat/>
    <w:uiPriority w:val="0"/>
    <w:rPr>
      <w:rFonts w:hint="default" w:ascii="仿宋" w:hAnsi="仿宋" w:eastAsia="仿宋" w:cs="仿宋"/>
      <w:color w:val="000000"/>
      <w:sz w:val="18"/>
      <w:szCs w:val="18"/>
      <w:u w:val="none"/>
    </w:rPr>
  </w:style>
  <w:style w:type="character" w:customStyle="1" w:styleId="55">
    <w:name w:val="font41"/>
    <w:basedOn w:val="23"/>
    <w:qFormat/>
    <w:uiPriority w:val="0"/>
    <w:rPr>
      <w:rFonts w:hint="default" w:ascii="仿宋" w:hAnsi="仿宋" w:eastAsia="仿宋" w:cs="仿宋"/>
      <w:color w:val="000000"/>
      <w:sz w:val="22"/>
      <w:szCs w:val="22"/>
      <w:u w:val="none"/>
      <w:vertAlign w:val="superscript"/>
    </w:rPr>
  </w:style>
  <w:style w:type="character" w:customStyle="1" w:styleId="56">
    <w:name w:val="font51"/>
    <w:basedOn w:val="23"/>
    <w:qFormat/>
    <w:uiPriority w:val="0"/>
    <w:rPr>
      <w:rFonts w:hint="default" w:ascii="仿宋" w:hAnsi="仿宋" w:eastAsia="仿宋" w:cs="仿宋"/>
      <w:color w:val="000000"/>
      <w:sz w:val="22"/>
      <w:szCs w:val="22"/>
      <w:u w:val="none"/>
    </w:rPr>
  </w:style>
  <w:style w:type="character" w:customStyle="1" w:styleId="57">
    <w:name w:val="font81"/>
    <w:basedOn w:val="23"/>
    <w:qFormat/>
    <w:uiPriority w:val="0"/>
    <w:rPr>
      <w:rFonts w:hint="default"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216</Words>
  <Characters>216</Characters>
  <Lines>178</Lines>
  <Paragraphs>50</Paragraphs>
  <TotalTime>13</TotalTime>
  <ScaleCrop>false</ScaleCrop>
  <LinksUpToDate>false</LinksUpToDate>
  <CharactersWithSpaces>346</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2018-09-14T08:38:00Z</dcterms:created>
  <dc:creator>微软用户</dc:creator>
  <cp:lastModifiedBy>huawei</cp:lastModifiedBy>
  <cp:lastPrinted>2022-10-17T07:22:00Z</cp:lastPrinted>
  <dcterms:modified xsi:type="dcterms:W3CDTF">2022-11-16T16:47:07Z</dcterms:modified>
  <dc:title>在全市开放型经济工作会上的讲话</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D0E267B60016C3968BA37463CE5900C6</vt:lpwstr>
  </property>
</Properties>
</file>